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53"/>
        <w:gridCol w:w="2105"/>
        <w:gridCol w:w="1564"/>
        <w:gridCol w:w="8024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Краткое  описание  круга лиц  и (или) перечня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объектов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Юридические  лица  и индивидуальные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(жилищный 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фонд</w:t>
            </w:r>
            <w:proofErr w:type="gramEnd"/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 w:rsidR="00724437">
              <w:rPr>
                <w:rFonts w:eastAsia="Calibri"/>
                <w:sz w:val="24"/>
                <w:szCs w:val="24"/>
              </w:rPr>
              <w:t>сельского поселения Вознесе</w:t>
            </w:r>
            <w:r>
              <w:rPr>
                <w:rFonts w:eastAsia="Calibri"/>
                <w:sz w:val="24"/>
                <w:szCs w:val="24"/>
              </w:rPr>
              <w:t>нский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 w:rsidR="00EE2256">
              <w:rPr>
                <w:rFonts w:eastAsia="Calibri"/>
                <w:sz w:val="24"/>
                <w:szCs w:val="24"/>
              </w:rPr>
              <w:t>53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EE2256">
              <w:rPr>
                <w:rFonts w:eastAsia="Calibri"/>
                <w:sz w:val="24"/>
                <w:szCs w:val="24"/>
              </w:rPr>
              <w:t>27.07.2013</w:t>
            </w:r>
            <w:r w:rsidRPr="008744E0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>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</w:t>
            </w:r>
            <w:r w:rsidR="00724437">
              <w:rPr>
                <w:rFonts w:eastAsia="Calibri"/>
                <w:sz w:val="24"/>
                <w:szCs w:val="24"/>
              </w:rPr>
              <w:t>тории сельского поселения Вознесе</w:t>
            </w:r>
            <w:r>
              <w:rPr>
                <w:rFonts w:eastAsia="Calibri"/>
                <w:sz w:val="24"/>
                <w:szCs w:val="24"/>
              </w:rPr>
              <w:t xml:space="preserve">нский сельсовет муниципального района Дуванский район Республики Башкортостан </w:t>
            </w:r>
            <w:r w:rsidR="00EE789B">
              <w:rPr>
                <w:rFonts w:eastAsia="Calibri"/>
                <w:sz w:val="24"/>
                <w:szCs w:val="24"/>
              </w:rPr>
              <w:t xml:space="preserve">(с </w:t>
            </w:r>
            <w:r w:rsidR="00EE789B">
              <w:rPr>
                <w:rFonts w:eastAsia="Calibri"/>
                <w:sz w:val="24"/>
                <w:szCs w:val="24"/>
              </w:rPr>
              <w:lastRenderedPageBreak/>
              <w:t>последующими изменениями от 10.04.2015г № 18)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5386A" w:rsidRDefault="00724437" w:rsidP="00467F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http://</w:t>
            </w:r>
            <w:r w:rsidR="0085386A">
              <w:rPr>
                <w:rFonts w:ascii="Calibri" w:eastAsia="Calibri" w:hAnsi="Calibri"/>
                <w:sz w:val="24"/>
                <w:szCs w:val="24"/>
              </w:rPr>
              <w:t>вознесенка.рф</w:t>
            </w: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>
      <w:bookmarkStart w:id="0" w:name="_GoBack"/>
      <w:bookmarkEnd w:id="0"/>
    </w:p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BE" w:rsidRDefault="003F29BE" w:rsidP="00650640">
      <w:r>
        <w:separator/>
      </w:r>
    </w:p>
  </w:endnote>
  <w:endnote w:type="continuationSeparator" w:id="0">
    <w:p w:rsidR="003F29BE" w:rsidRDefault="003F29BE" w:rsidP="0065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4F7DF0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EE789B">
      <w:rPr>
        <w:noProof/>
        <w:color w:val="000000"/>
        <w:sz w:val="22"/>
        <w:szCs w:val="22"/>
      </w:rPr>
      <w:t>2</w:t>
    </w:r>
    <w:r w:rsidRPr="00043175">
      <w:rPr>
        <w:color w:val="000000"/>
        <w:sz w:val="22"/>
        <w:szCs w:val="22"/>
      </w:rPr>
      <w:fldChar w:fldCharType="end"/>
    </w:r>
  </w:p>
  <w:p w:rsidR="007C388A" w:rsidRDefault="003F29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BE" w:rsidRDefault="003F29BE" w:rsidP="00650640">
      <w:r>
        <w:separator/>
      </w:r>
    </w:p>
  </w:footnote>
  <w:footnote w:type="continuationSeparator" w:id="0">
    <w:p w:rsidR="003F29BE" w:rsidRDefault="003F29BE" w:rsidP="00650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CB"/>
    <w:rsid w:val="003132CB"/>
    <w:rsid w:val="003F29BE"/>
    <w:rsid w:val="004D289A"/>
    <w:rsid w:val="004F7DF0"/>
    <w:rsid w:val="00650640"/>
    <w:rsid w:val="006F5F28"/>
    <w:rsid w:val="00724437"/>
    <w:rsid w:val="007A44EB"/>
    <w:rsid w:val="00824EF1"/>
    <w:rsid w:val="0085386A"/>
    <w:rsid w:val="00A871DD"/>
    <w:rsid w:val="00AE60B5"/>
    <w:rsid w:val="00B76CA3"/>
    <w:rsid w:val="00EE2256"/>
    <w:rsid w:val="00E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1542</Words>
  <Characters>8795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2018-07-04T07:51:00Z</dcterms:created>
  <dcterms:modified xsi:type="dcterms:W3CDTF">2018-12-27T08:49:00Z</dcterms:modified>
</cp:coreProperties>
</file>